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62/2026/4478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Ruhrschule, Außenanlagen Schulhofbereich - Errichtung eines neuen Spielgerätes, Landschaftsbauarbeiten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Errichtung eines neuen Spielgerätes, Landschaftsbauarbeiten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